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33b97e222c6ebe794c1eae9475f89c65732508"/>
    <w:p>
      <w:pPr>
        <w:pStyle w:val="Heading3"/>
      </w:pPr>
      <w:r>
        <w:t xml:space="preserve">РЕКОМЕНДАЦИИ по совершенствованию работы по антикоррупционной пропаганде и профилактике коррупционных и иных правонарушений в управах районов СВАО</w:t>
      </w:r>
    </w:p>
    <w:p>
      <w:pPr>
        <w:pStyle w:val="FirstParagraph"/>
      </w:pPr>
      <w:r>
        <w:t xml:space="preserve">02.06.2014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http://rostokino.mos.ru/anti-corruption/methodical-materials/detail/1064363.html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Ростокино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ostokino.mos.ru" TargetMode="External" /><Relationship Type="http://schemas.openxmlformats.org/officeDocument/2006/relationships/hyperlink" Id="rId20" Target="http://rostokino.mos.ru/anti-corruption/methodical-materials/detail/10643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ostokino.mos.ru" TargetMode="External" /><Relationship Type="http://schemas.openxmlformats.org/officeDocument/2006/relationships/hyperlink" Id="rId20" Target="http://rostokino.mos.ru/anti-corruption/methodical-materials/detail/10643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2025-02-25T18:06:51Z</dcterms:created>
  <dcterms:modified xsi:type="dcterms:W3CDTF">2025-02-25T18:06:51Z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