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1fe264b9e6345fc291aef9ab91221628a00ae"/>
    <w:p>
      <w:pPr>
        <w:pStyle w:val="Heading3"/>
      </w:pPr>
      <w:r>
        <w:t xml:space="preserve">Методические материалы Министерства труда по противодействию коррупции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Ссылка на методические материалы Министерства труда по противодействию коррупции:</w:t>
      </w:r>
      <w:hyperlink r:id="rId20">
        <w:r>
          <w:rPr>
            <w:rStyle w:val="Hyperlink"/>
          </w:rPr>
          <w:t xml:space="preserve">https://mintrud.gov.ru/ministry/anticorruption/Methods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http://rostokino.mos.ru/anti-corruption/methodical-materials/detail/9725586.html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anti-corruption/methodical-materials/detail/9725586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anti-corruption/methodical-materials/detail/9725586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2025-07-30T03:31:17Z</dcterms:created>
  <dcterms:modified xsi:type="dcterms:W3CDTF">2025-07-30T03:31:17Z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