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2c22c1e920cfbb98c21051176563534c17a263"/>
    <w:p>
      <w:pPr>
        <w:pStyle w:val="Heading3"/>
      </w:pPr>
      <w:r>
        <w:t xml:space="preserve">Проект межевания – первый шаг к постановке земельного участка на государственный кадастровый учёт</w:t>
      </w:r>
    </w:p>
    <w:p>
      <w:pPr>
        <w:pStyle w:val="FirstParagraph"/>
      </w:pPr>
      <w:r>
        <w:t xml:space="preserve">09.03.2023</w:t>
      </w:r>
    </w:p>
    <w:p>
      <w:pPr>
        <w:pStyle w:val="BodyText"/>
      </w:pPr>
      <w:r>
        <w:t xml:space="preserve">Подготовка проекта межевания территории позволяет определить границы земельных участков, предназначенных для эксплуатации существующих жилых, нежилых зданий, участков территорий, в отношении которых принято решение о градостроительном развитии, а также границы территорий общего пользования. Это позволит в будущем избежать конфликта интересов собственников. Об этом в рамках прошедшей конференции "Строительная отрасль: перспективы и планы" рассказал Максим Подозёров, начальник территориальной проектно-планировочной мастерской Центрального административного округа ГБУ «ГлавАПУ» (генеральный партнер мероприятия).</w:t>
      </w:r>
    </w:p>
    <w:p>
      <w:pPr>
        <w:pStyle w:val="BodyText"/>
      </w:pPr>
      <w:r>
        <w:t xml:space="preserve">«На сегодняшний день, в столице сохраняются территории, в границах которых отсутствует документация по планировке территории. Учитывая высокую инвестиционную и девелоперскую активность в городе, во избежание конфликта интересов перспективных застройщиков, а также существующих землепользователей, целесообразно провести процедуру межевания территории», - отметил Максим Подозёров.</w:t>
      </w:r>
    </w:p>
    <w:p>
      <w:pPr>
        <w:pStyle w:val="BodyText"/>
      </w:pPr>
      <w:r>
        <w:t xml:space="preserve">По словам эксперта, переформирование земельного участка, уточнение его границ, или раздел существующего земельного участка – все это задачи, разрешить которые поможет разработка проекта межевания территории.</w:t>
      </w:r>
    </w:p>
    <w:p>
      <w:pPr>
        <w:pStyle w:val="BodyText"/>
      </w:pPr>
      <w:r>
        <w:t xml:space="preserve">«Кроме того, проект межевания является инструментом, дающим возможность землепользователям определить границы дополнительной территории, необходимой для эксплуатации существующих зданий и сооружений, без проведения процедуры торгов, в соответствии с ст. 24 № 43-ФЗ», - уточнил Максим Подозёров.</w:t>
      </w:r>
    </w:p>
    <w:p>
      <w:pPr>
        <w:pStyle w:val="BodyText"/>
      </w:pPr>
      <w:r>
        <w:t xml:space="preserve">Итогом разработки проекта межевания территории становится выпуск распорядительного акта Департамента городского имущества города Москвы, на основании которого в дальнейшем осуществляется процедура постановки земельного участка на государственный кадастровый учет.</w:t>
      </w:r>
    </w:p>
    <w:p>
      <w:pPr>
        <w:pStyle w:val="BodyText"/>
      </w:pPr>
      <w:r>
        <w:t xml:space="preserve">Как отметил главный инженер проектов Территориальной проектно-планировочной мастерской СЗАО-ЗелАО ГБУ «ГлавАпу» Артур Глушко, вопрос межевания земельных участков наиболее актуален для новых территорий столицы. «Понятно, до вхождения в состав Москвы, на этих территориях действовали другие правила. Сейчас развитие новых округов активизировалось и, как следствие, выросло количество заявок на межевание земельных участков», -пояснил Артур Глушко.</w:t>
      </w:r>
    </w:p>
    <w:p>
      <w:pPr>
        <w:pStyle w:val="BodyText"/>
      </w:pPr>
      <w:r>
        <w:t xml:space="preserve">Он отметил, что большую активность в этом вопросе стали проявлять и дачники. «Ведется активная работа по уточнению границ в старых садовых товариществах, а раньше собственники участков не обращали на это внимание», - подчеркнул специалист.</w:t>
      </w:r>
    </w:p>
    <w:p>
      <w:pPr>
        <w:pStyle w:val="BodyText"/>
      </w:pPr>
      <w:r>
        <w:t xml:space="preserve">Стратегическим партнером конференции, прошедшей в Москве, выступила ГК "Мосинжпроект", генеральным партнером – ГБУ "ГлавАПУ", официальным партнером – ГАУ "Институт Генплана Москвы".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http://rostokino.mos.ru/presscenter/true/detail/11452629.html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Ростокино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ostokino.mos.ru" TargetMode="External" /><Relationship Type="http://schemas.openxmlformats.org/officeDocument/2006/relationships/hyperlink" Id="rId20" Target="http://rostokino.mos.ru/presscenter/true/detail/114526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ostokino.mos.ru" TargetMode="External" /><Relationship Type="http://schemas.openxmlformats.org/officeDocument/2006/relationships/hyperlink" Id="rId20" Target="http://rostokino.mos.ru/presscenter/true/detail/114526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2025-07-30T01:21:37Z</dcterms:created>
  <dcterms:modified xsi:type="dcterms:W3CDTF">2025-07-30T01:21:37Z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